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de-DE"/>
        </w:rPr>
        <w:t>MANU</w:t>
      </w:r>
      <w:r>
        <w:rPr>
          <w:rtl w:val="0"/>
        </w:rPr>
        <w:t>Á</w:t>
      </w:r>
      <w:r>
        <w:rPr>
          <w:rtl w:val="0"/>
        </w:rPr>
        <w:t>L K</w:t>
      </w:r>
      <w:r>
        <w:rPr>
          <w:rtl w:val="0"/>
        </w:rPr>
        <w:t> </w:t>
      </w:r>
      <w:r>
        <w:rPr>
          <w:rtl w:val="0"/>
          <w:lang w:val="fr-FR"/>
        </w:rPr>
        <w:t>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</w:p>
    <w:p>
      <w:pPr>
        <w:pStyle w:val="Title"/>
      </w:pPr>
      <w:r>
        <w:rPr>
          <w:rtl w:val="0"/>
          <w:lang w:val="nl-NL"/>
        </w:rPr>
        <w:t>VSTUPN</w:t>
      </w:r>
      <w:r>
        <w:rPr>
          <w:rtl w:val="0"/>
        </w:rPr>
        <w:t>Í</w:t>
      </w:r>
      <w:r>
        <w:rPr>
          <w:rtl w:val="0"/>
          <w:lang w:val="de-DE"/>
        </w:rPr>
        <w:t>HO  Z</w:t>
      </w:r>
      <w:r>
        <w:rPr>
          <w:rtl w:val="0"/>
        </w:rPr>
        <w:t>Á</w:t>
      </w:r>
      <w:r>
        <w:rPr>
          <w:rtl w:val="0"/>
        </w:rPr>
        <w:t>ZNAMU  O 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TI</w:t>
      </w:r>
    </w:p>
    <w:p>
      <w:pPr>
        <w:pStyle w:val="Normal.0"/>
        <w:widowControl w:val="0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I. CHARAKTERISTIKA RODINY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rodina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fr-FR"/>
        </w:rPr>
        <w:t>x ne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pop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 kontaktu rozveden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rodi</w:t>
      </w:r>
      <w:r>
        <w:rPr>
          <w:sz w:val="24"/>
          <w:szCs w:val="24"/>
          <w:rtl w:val="0"/>
        </w:rPr>
        <w:t xml:space="preserve">čů </w:t>
      </w:r>
      <w:r>
        <w:rPr>
          <w:sz w:val="24"/>
          <w:szCs w:val="24"/>
          <w:rtl w:val="0"/>
          <w:lang w:val="fr-FR"/>
        </w:rPr>
        <w:t>s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tmi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sociokulturn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rodiny, jazykov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rodi</w:t>
      </w:r>
      <w:r>
        <w:rPr>
          <w:sz w:val="24"/>
          <w:szCs w:val="24"/>
          <w:rtl w:val="0"/>
        </w:rPr>
        <w:t>čů</w:t>
      </w:r>
      <w:r>
        <w:rPr>
          <w:sz w:val="24"/>
          <w:szCs w:val="24"/>
          <w:rtl w:val="0"/>
        </w:rPr>
        <w:t>, povol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rodi</w:t>
      </w:r>
      <w:r>
        <w:rPr>
          <w:sz w:val="24"/>
          <w:szCs w:val="24"/>
          <w:rtl w:val="0"/>
        </w:rPr>
        <w:t>čů …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et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rodin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mezi sourozenci, 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chovn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styl rodiny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 volnosti,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slednosti, odm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ny, tresty, existuj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rodin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 ovliv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zat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nejv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asu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osloven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do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</w:p>
    <w:p>
      <w:pPr>
        <w:pStyle w:val="Normal.0"/>
        <w:widowControl w:val="0"/>
        <w:tabs>
          <w:tab w:val="left" w:pos="4970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II. SPOLUPR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CE S M</w:t>
      </w:r>
      <w:r>
        <w:rPr>
          <w:b w:val="1"/>
          <w:bCs w:val="1"/>
          <w:sz w:val="24"/>
          <w:szCs w:val="24"/>
          <w:rtl w:val="0"/>
        </w:rPr>
        <w:t xml:space="preserve">Š – 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si vybrali na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,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 jsou jim bl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  <w:lang w:val="fr-FR"/>
        </w:rPr>
        <w:t xml:space="preserve">é 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co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, co by cht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li, aby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dala jejich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ti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si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nky ke Kurikulu,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mu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du,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imu dne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mohou pomoci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(finan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- pap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ry..., opravy,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jmy rodi</w:t>
      </w:r>
      <w:r>
        <w:rPr>
          <w:sz w:val="24"/>
          <w:szCs w:val="24"/>
          <w:rtl w:val="0"/>
        </w:rPr>
        <w:t>čů</w:t>
      </w:r>
      <w:r>
        <w:rPr>
          <w:sz w:val="24"/>
          <w:szCs w:val="24"/>
          <w:rtl w:val="0"/>
        </w:rPr>
        <w:t>...)</w:t>
      </w: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III. CHARAKTERISTIKA  D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  <w:lang w:val="de-DE"/>
        </w:rPr>
        <w:t>TE</w:t>
      </w:r>
    </w:p>
    <w:p>
      <w:pPr>
        <w:pStyle w:val="Normal.0"/>
        <w:widowControl w:val="0"/>
        <w:tabs>
          <w:tab w:val="left" w:pos="4970"/>
        </w:tabs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a/ zdravotn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stav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nemocnost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je v 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  <w:lang w:val="it-IT"/>
        </w:rPr>
        <w:t>i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odborn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e, pravideln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it-IT"/>
        </w:rPr>
        <w:t>dieta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jakou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vojovou vadu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deficity v oblasti motoriky,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i, zraku, sluchu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se n</w:t>
      </w:r>
      <w:r>
        <w:rPr>
          <w:sz w:val="24"/>
          <w:szCs w:val="24"/>
          <w:rtl w:val="0"/>
        </w:rPr>
        <w:t>ěč</w:t>
      </w:r>
      <w:r>
        <w:rPr>
          <w:sz w:val="24"/>
          <w:szCs w:val="24"/>
          <w:rtl w:val="0"/>
        </w:rPr>
        <w:t>eho se vyvarovat (kup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. prochlazen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fyzick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e,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aktivit, alergen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apod.)</w:t>
      </w: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b/ dosavadn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ý</w:t>
      </w:r>
      <w:r>
        <w:rPr>
          <w:b w:val="1"/>
          <w:bCs w:val="1"/>
          <w:i w:val="1"/>
          <w:iCs w:val="1"/>
          <w:sz w:val="24"/>
          <w:szCs w:val="24"/>
          <w:rtl w:val="0"/>
        </w:rPr>
        <w:t>voj d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te a aktu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ln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stav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 oblasti motoriky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kdy 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alo chodit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kdy mluvit 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>v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hygieny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kdy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estalo nosit pleny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lateralita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ruce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ednost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uchopov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ek, 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ů č</w:t>
      </w:r>
      <w:r>
        <w:rPr>
          <w:sz w:val="24"/>
          <w:szCs w:val="24"/>
          <w:rtl w:val="0"/>
          <w:lang w:val="it-IT"/>
        </w:rPr>
        <w:t>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>ů</w:t>
      </w: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ind w:left="36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>c/ sebeobslu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ž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dovednosti      </w:t>
      </w:r>
    </w:p>
    <w:p>
      <w:pPr>
        <w:pStyle w:val="Normal.0"/>
        <w:widowControl w:val="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oblasti sebeobslu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dovednost</w:t>
      </w:r>
      <w:r>
        <w:rPr>
          <w:sz w:val="24"/>
          <w:szCs w:val="24"/>
          <w:rtl w:val="0"/>
        </w:rPr>
        <w:t xml:space="preserve">í – </w:t>
      </w:r>
      <w:r>
        <w:rPr>
          <w:sz w:val="24"/>
          <w:szCs w:val="24"/>
          <w:rtl w:val="0"/>
        </w:rPr>
        <w:t>zda je samostatn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ve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pt-PT"/>
        </w:rPr>
        <w:t>event. 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a jak je rodi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 zvl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em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ebuje pomoc, 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i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osobn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hygiena,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toalety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stolov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al.0"/>
        <w:widowControl w:val="0"/>
        <w:tabs>
          <w:tab w:val="left" w:pos="709"/>
        </w:tabs>
        <w:ind w:left="720" w:firstLine="0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709"/>
        </w:tabs>
        <w:ind w:left="720" w:firstLine="0"/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c/ adaptabilita a soci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ln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chov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í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se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sobuje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imu, jak reaguje na 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lidi, situace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 fixace na rodinu, jak sn</w:t>
      </w:r>
      <w:r>
        <w:rPr>
          <w:sz w:val="24"/>
          <w:szCs w:val="24"/>
          <w:rtl w:val="0"/>
        </w:rPr>
        <w:t xml:space="preserve">áší </w:t>
      </w:r>
      <w:r>
        <w:rPr>
          <w:sz w:val="24"/>
          <w:szCs w:val="24"/>
          <w:rtl w:val="0"/>
        </w:rPr>
        <w:t>separaci od rodi</w:t>
      </w:r>
      <w:r>
        <w:rPr>
          <w:sz w:val="24"/>
          <w:szCs w:val="24"/>
          <w:rtl w:val="0"/>
        </w:rPr>
        <w:t>čů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se chov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tem (tou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po nich, hraje si s nimi, hraje si izolovan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je samot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boj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je konfliktn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it-IT"/>
        </w:rPr>
        <w:t>na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ti agresivn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chce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navrch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reaguje v konfliktn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situac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kup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chce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co, co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mu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zasahuje do hry, bere mu hra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(pl</w:t>
      </w:r>
      <w:r>
        <w:rPr>
          <w:sz w:val="24"/>
          <w:szCs w:val="24"/>
          <w:rtl w:val="0"/>
        </w:rPr>
        <w:t>áč</w:t>
      </w:r>
      <w:r>
        <w:rPr>
          <w:sz w:val="24"/>
          <w:szCs w:val="24"/>
          <w:rtl w:val="0"/>
        </w:rPr>
        <w:t>e,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hne se do sebe,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aluje, hled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pomoc u dosp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ho, je agresivn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domluv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se, ustoup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...)</w:t>
      </w: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d/ specifika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pozitivn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vlastnosti,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jmy, s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 si nejrad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hraje, co na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 nejv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>ce plat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 ho lze nejl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pe zmotivovat, uklidnit 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 nadm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ě ž</w:t>
      </w:r>
      <w:r>
        <w:rPr>
          <w:sz w:val="24"/>
          <w:szCs w:val="24"/>
          <w:rtl w:val="0"/>
        </w:rPr>
        <w:t>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ne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da-DK"/>
        </w:rPr>
        <w:t>navn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aktivn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drav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x nadm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pomal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pasivn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rychleji unaviteln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specifika v 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jako je kup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dr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divost, impulsivita, boj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cnost,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zkostnost, emo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labilita,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ladovost,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ecitliv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lost,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patn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nl-NL"/>
        </w:rPr>
        <w:t>nese k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ivdu,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a-DK"/>
        </w:rPr>
        <w:t>edv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nl-NL"/>
        </w:rPr>
        <w:t>talent, nad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zlozvyky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je zvykl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na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ritu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ly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boj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n</w:t>
      </w:r>
      <w:r>
        <w:rPr>
          <w:sz w:val="24"/>
          <w:szCs w:val="24"/>
          <w:rtl w:val="0"/>
        </w:rPr>
        <w:t>ěč</w:t>
      </w:r>
      <w:r>
        <w:rPr>
          <w:sz w:val="24"/>
          <w:szCs w:val="24"/>
          <w:rtl w:val="0"/>
        </w:rPr>
        <w:t>eho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e/ v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ýž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iva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stravovac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zvyklosti rodiny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 naj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samo, je krmeno nebo je ho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dokrmit 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nutn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do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dla pob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zet, od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dla odb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mluv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....</w:t>
      </w:r>
    </w:p>
    <w:p>
      <w:pPr>
        <w:pStyle w:val="Normal.0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dla</w:t>
      </w: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IV. ADAPTACE (vypln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itelka po ukon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  <w:lang w:val="pt-PT"/>
        </w:rPr>
        <w:t>adapta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ho obdob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  </w:t>
      </w: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a/ zp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ů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sob zvyk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í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          </w:t>
      </w:r>
      <w:r>
        <w:rPr>
          <w:sz w:val="24"/>
          <w:szCs w:val="24"/>
          <w:rtl w:val="0"/>
        </w:rPr>
        <w:t>spolu s rodi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nav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od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pisu do konce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roku,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kolikadenn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pobyt v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za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tomnosti rodi</w:t>
      </w:r>
      <w:r>
        <w:rPr>
          <w:sz w:val="24"/>
          <w:szCs w:val="24"/>
          <w:rtl w:val="0"/>
        </w:rPr>
        <w:t>čů</w:t>
      </w:r>
      <w:r>
        <w:rPr>
          <w:sz w:val="24"/>
          <w:szCs w:val="24"/>
          <w:rtl w:val="0"/>
        </w:rPr>
        <w:t>, postupn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od jedn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hodiny po cel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den, hned cel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den, pouze dopoledne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b/ vlastn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adaptace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          </w:t>
      </w:r>
      <w:r>
        <w:rPr>
          <w:sz w:val="24"/>
          <w:szCs w:val="24"/>
          <w:rtl w:val="0"/>
        </w:rPr>
        <w:t>bez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s drobn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my /v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em, co je pomohlo odstranit/, problematick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adaptace /v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 xml:space="preserve">mat si s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  <w:lang w:val="pt-PT"/>
        </w:rPr>
        <w:t>m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souvisej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- kup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objevuj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pouze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separaci od rodi</w:t>
      </w:r>
      <w:r>
        <w:rPr>
          <w:sz w:val="24"/>
          <w:szCs w:val="24"/>
          <w:rtl w:val="0"/>
        </w:rPr>
        <w:t xml:space="preserve">čů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objevuj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po nemoci,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itelek,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d,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kolektivu, souvisej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s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pt-PT"/>
        </w:rPr>
        <w:t>imem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- s odpoledn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m span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s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dlem, s 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s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aktivitami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nou aktivit,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imu, se zapojen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mezi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ti, (projevy disadaptace - pl</w:t>
      </w:r>
      <w:r>
        <w:rPr>
          <w:sz w:val="24"/>
          <w:szCs w:val="24"/>
          <w:rtl w:val="0"/>
        </w:rPr>
        <w:t>áč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zkost, emo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labilita, pomo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rann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nevolnosti, nucen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 zvracen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bolesti b</w:t>
      </w:r>
      <w:r>
        <w:rPr>
          <w:sz w:val="24"/>
          <w:szCs w:val="24"/>
          <w:rtl w:val="0"/>
        </w:rPr>
        <w:t>říš</w:t>
      </w:r>
      <w:r>
        <w:rPr>
          <w:sz w:val="24"/>
          <w:szCs w:val="24"/>
          <w:rtl w:val="0"/>
        </w:rPr>
        <w:t>ka, hlavy, poruchy sp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nku, tiky, nemluvnost, kokt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izolovanost, negativismus, agresivita)</w:t>
      </w:r>
    </w:p>
    <w:p>
      <w:pPr>
        <w:pStyle w:val="Normal.0"/>
        <w:widowControl w:val="0"/>
        <w:tabs>
          <w:tab w:val="left" w:pos="4970"/>
        </w:tabs>
        <w:jc w:val="both"/>
        <w:rPr>
          <w:sz w:val="24"/>
          <w:szCs w:val="24"/>
        </w:rPr>
      </w:pPr>
    </w:p>
    <w:p>
      <w:pPr>
        <w:pStyle w:val="Normal.0"/>
        <w:widowControl w:val="0"/>
        <w:tabs>
          <w:tab w:val="left" w:pos="4970"/>
        </w:tabs>
        <w:jc w:val="both"/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7541260</wp:posOffset>
                </wp:positionV>
                <wp:extent cx="5972811" cy="62470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1" cy="624707"/>
                        </a:xfrm>
                        <a:prstGeom prst="roundRect">
                          <a:avLst>
                            <a:gd name="adj" fmla="val 30494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8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center" w:pos="4536"/>
                                <w:tab w:val="right" w:pos="9046"/>
                                <w:tab w:val="left" w:pos="9204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Zdroj: Mate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 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kola POD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PILBERKEM, Brno, p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sp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ě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vkov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organizace,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doln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704/9 a, 602 00 Brno-st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ed, 2019.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70.3pt;height:49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6587">
                <v:fill color="#FFFFFF" opacity="100.0%" type="solid"/>
                <v:stroke filltype="solid" color="#58C0DE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center" w:pos="4536"/>
                          <w:tab w:val="right" w:pos="9046"/>
                          <w:tab w:val="left" w:pos="9204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Zdroj: Mate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sk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 š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kola POD 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Š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PILBERKEM, Brno, p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ří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sp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ě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vkov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á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organizace, 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doln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704/9 a, 602 00 Brno-st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ed, 2019.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∙"/>
      <w:lvlJc w:val="left"/>
      <w:pPr>
        <w:tabs>
          <w:tab w:val="left" w:pos="426"/>
        </w:tabs>
        <w:ind w:left="66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426"/>
        </w:tabs>
        <w:ind w:left="1260" w:hanging="9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860" w:hanging="1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∙"/>
      <w:lvlJc w:val="left"/>
      <w:pPr>
        <w:tabs>
          <w:tab w:val="left" w:pos="426"/>
        </w:tabs>
        <w:ind w:left="2460" w:hanging="21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426"/>
        </w:tabs>
        <w:ind w:left="3060" w:hanging="27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660" w:hanging="3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∙"/>
      <w:lvlJc w:val="left"/>
      <w:pPr>
        <w:tabs>
          <w:tab w:val="left" w:pos="426"/>
        </w:tabs>
        <w:ind w:left="4260" w:hanging="39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426"/>
        </w:tabs>
        <w:ind w:left="4860" w:hanging="4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60" w:hanging="51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∙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num" w:pos="651"/>
          <w:tab w:val="left" w:pos="709"/>
        </w:tabs>
        <w:ind w:left="662" w:hanging="3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∙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num" w:pos="651"/>
          <w:tab w:val="left" w:pos="709"/>
        </w:tabs>
        <w:ind w:left="662" w:hanging="3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∙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num" w:pos="651"/>
          <w:tab w:val="left" w:pos="709"/>
        </w:tabs>
        <w:ind w:left="662" w:hanging="3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1"/>
          <w:tab w:val="left" w:pos="709"/>
        </w:tabs>
        <w:ind w:left="662" w:hanging="3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